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C2C7A" w:rsidP="002D4A99" w14:paraId="3D5BC30B" w14:textId="50F92114">
      <w:pPr>
        <w:pStyle w:val="CommentText"/>
        <w:jc w:val="center"/>
        <w:rPr>
          <w:b/>
          <w:sz w:val="28"/>
          <w:szCs w:val="24"/>
        </w:rPr>
      </w:pPr>
      <w:r>
        <w:rPr>
          <w:noProof/>
        </w:rPr>
        <w:drawing>
          <wp:anchor distT="0" distB="0" distL="114300" distR="114300" simplePos="0" relativeHeight="251658240" behindDoc="0" locked="0" layoutInCell="1" allowOverlap="1">
            <wp:simplePos x="0" y="0"/>
            <wp:positionH relativeFrom="page">
              <wp:posOffset>523875</wp:posOffset>
            </wp:positionH>
            <wp:positionV relativeFrom="page">
              <wp:posOffset>581025</wp:posOffset>
            </wp:positionV>
            <wp:extent cx="2487168" cy="557784"/>
            <wp:effectExtent l="0" t="0" r="8890" b="0"/>
            <wp:wrapThrough wrapText="bothSides">
              <wp:wrapPolygon>
                <wp:start x="0" y="0"/>
                <wp:lineTo x="0" y="20665"/>
                <wp:lineTo x="21512" y="20665"/>
                <wp:lineTo x="215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87168" cy="5577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C7A" w:rsidP="002D4A99" w14:paraId="7DAD542A" w14:textId="686A4C2C">
      <w:pPr>
        <w:pStyle w:val="CommentText"/>
        <w:jc w:val="center"/>
        <w:rPr>
          <w:b/>
          <w:sz w:val="28"/>
          <w:szCs w:val="24"/>
        </w:rPr>
      </w:pPr>
    </w:p>
    <w:p w:rsidR="00D71E89" w:rsidRPr="002D4A99" w:rsidP="002D4A99" w14:paraId="68D5426C" w14:textId="4EA49D52">
      <w:pPr>
        <w:pStyle w:val="CommentText"/>
        <w:jc w:val="center"/>
        <w:rPr>
          <w:b/>
          <w:sz w:val="28"/>
          <w:szCs w:val="24"/>
        </w:rPr>
      </w:pPr>
      <w:r>
        <w:rPr>
          <w:b/>
          <w:sz w:val="28"/>
          <w:szCs w:val="24"/>
        </w:rPr>
        <w:t>Transition Goals Template</w:t>
      </w:r>
    </w:p>
    <w:p w:rsidR="00D71E89" w14:paraId="586228E9" w14:textId="77777777"/>
    <w:tbl>
      <w:tblPr>
        <w:tblStyle w:val="TableGrid"/>
        <w:tblW w:w="5282" w:type="pct"/>
        <w:tblInd w:w="-545" w:type="dxa"/>
        <w:tblLook w:val="04A0"/>
      </w:tblPr>
      <w:tblGrid>
        <w:gridCol w:w="2340"/>
        <w:gridCol w:w="3781"/>
        <w:gridCol w:w="3781"/>
        <w:gridCol w:w="3778"/>
      </w:tblGrid>
      <w:tr w14:paraId="7F5C4900" w14:textId="77777777" w:rsidTr="009C2C7A">
        <w:tblPrEx>
          <w:tblW w:w="5282" w:type="pct"/>
          <w:tblInd w:w="-545" w:type="dxa"/>
          <w:tblLook w:val="04A0"/>
        </w:tblPrEx>
        <w:tc>
          <w:tcPr>
            <w:tcW w:w="855" w:type="pct"/>
          </w:tcPr>
          <w:p w:rsidR="002D4A99" w:rsidRPr="002D4A99" w14:paraId="48C86044" w14:textId="77777777">
            <w:pPr>
              <w:rPr>
                <w:b/>
              </w:rPr>
            </w:pPr>
          </w:p>
        </w:tc>
        <w:tc>
          <w:tcPr>
            <w:tcW w:w="1382" w:type="pct"/>
            <w:shd w:val="clear" w:color="auto" w:fill="D9D9D9" w:themeFill="background1" w:themeFillShade="D9"/>
          </w:tcPr>
          <w:p w:rsidR="002D4A99" w:rsidP="002D4A99" w14:paraId="6A3C2E25" w14:textId="77777777">
            <w:pPr>
              <w:jc w:val="center"/>
              <w:rPr>
                <w:b/>
              </w:rPr>
            </w:pPr>
            <w:r w:rsidRPr="009C2C7A">
              <w:rPr>
                <w:b/>
              </w:rPr>
              <w:t>Transition Goal</w:t>
            </w:r>
          </w:p>
          <w:p w:rsidR="00FB57DB" w:rsidRPr="009C2C7A" w:rsidP="00FB57DB" w14:paraId="4A21E094" w14:textId="161617DD">
            <w:pPr>
              <w:jc w:val="center"/>
              <w:rPr>
                <w:b/>
              </w:rPr>
            </w:pPr>
            <w:r w:rsidRPr="001E57F2">
              <w:rPr>
                <w:i/>
              </w:rPr>
              <w:t>(</w:t>
            </w:r>
            <w:r>
              <w:rPr>
                <w:i/>
              </w:rPr>
              <w:t>Measurable goal</w:t>
            </w:r>
            <w:r w:rsidRPr="001E57F2">
              <w:rPr>
                <w:i/>
              </w:rPr>
              <w:t>)</w:t>
            </w:r>
          </w:p>
        </w:tc>
        <w:tc>
          <w:tcPr>
            <w:tcW w:w="1382" w:type="pct"/>
            <w:shd w:val="clear" w:color="auto" w:fill="D9D9D9" w:themeFill="background1" w:themeFillShade="D9"/>
          </w:tcPr>
          <w:p w:rsidR="002D4A99" w:rsidP="002D4A99" w14:paraId="0C25A278" w14:textId="77777777">
            <w:pPr>
              <w:jc w:val="center"/>
              <w:rPr>
                <w:b/>
              </w:rPr>
            </w:pPr>
            <w:r w:rsidRPr="009C2C7A">
              <w:rPr>
                <w:b/>
              </w:rPr>
              <w:t>Transition-Related Service</w:t>
            </w:r>
          </w:p>
          <w:p w:rsidR="00FB57DB" w:rsidRPr="009C2C7A" w:rsidP="00FB57DB" w14:paraId="7EBE4F8D" w14:textId="0B849D35">
            <w:pPr>
              <w:jc w:val="center"/>
              <w:rPr>
                <w:b/>
              </w:rPr>
            </w:pPr>
            <w:r w:rsidRPr="001E57F2">
              <w:rPr>
                <w:i/>
              </w:rPr>
              <w:t>(</w:t>
            </w:r>
            <w:r>
              <w:rPr>
                <w:i/>
              </w:rPr>
              <w:t>Related to and supports transition goal</w:t>
            </w:r>
            <w:r w:rsidRPr="001E57F2">
              <w:rPr>
                <w:i/>
              </w:rPr>
              <w:t>)</w:t>
            </w:r>
          </w:p>
        </w:tc>
        <w:tc>
          <w:tcPr>
            <w:tcW w:w="1382" w:type="pct"/>
            <w:shd w:val="clear" w:color="auto" w:fill="D9D9D9" w:themeFill="background1" w:themeFillShade="D9"/>
          </w:tcPr>
          <w:p w:rsidR="002D4A99" w:rsidP="002D4A99" w14:paraId="700B939C" w14:textId="77777777">
            <w:pPr>
              <w:jc w:val="center"/>
              <w:rPr>
                <w:b/>
              </w:rPr>
            </w:pPr>
            <w:r w:rsidRPr="009C2C7A">
              <w:rPr>
                <w:b/>
              </w:rPr>
              <w:t>Activity</w:t>
            </w:r>
          </w:p>
          <w:p w:rsidR="00FB57DB" w:rsidRPr="009C2C7A" w:rsidP="00FB57DB" w14:paraId="65FEBD58" w14:textId="50394CEC">
            <w:pPr>
              <w:jc w:val="center"/>
              <w:rPr>
                <w:b/>
              </w:rPr>
            </w:pPr>
            <w:r w:rsidRPr="001E57F2">
              <w:rPr>
                <w:i/>
              </w:rPr>
              <w:t>(</w:t>
            </w:r>
            <w:r>
              <w:rPr>
                <w:i/>
              </w:rPr>
              <w:t>Related to and supports transition goal</w:t>
            </w:r>
            <w:r w:rsidRPr="001E57F2">
              <w:rPr>
                <w:i/>
              </w:rPr>
              <w:t>)</w:t>
            </w:r>
          </w:p>
        </w:tc>
      </w:tr>
      <w:tr w14:paraId="3A2F0CE4" w14:textId="77777777" w:rsidTr="009746E5">
        <w:tblPrEx>
          <w:tblW w:w="5282" w:type="pct"/>
          <w:tblInd w:w="-545" w:type="dxa"/>
          <w:tblLook w:val="04A0"/>
        </w:tblPrEx>
        <w:trPr>
          <w:trHeight w:val="2087"/>
        </w:trPr>
        <w:tc>
          <w:tcPr>
            <w:tcW w:w="855" w:type="pct"/>
            <w:shd w:val="clear" w:color="auto" w:fill="D9D9D9" w:themeFill="background1" w:themeFillShade="D9"/>
          </w:tcPr>
          <w:p w:rsidR="002D4A99" w14:paraId="6596FFCD" w14:textId="77777777">
            <w:pPr>
              <w:rPr>
                <w:b/>
              </w:rPr>
            </w:pPr>
            <w:r w:rsidRPr="002D4A99">
              <w:rPr>
                <w:b/>
              </w:rPr>
              <w:t>Education/Training</w:t>
            </w:r>
          </w:p>
          <w:p w:rsidR="001E57F2" w:rsidRPr="001E57F2" w:rsidP="001E57F2" w14:paraId="12697552" w14:textId="46A26225">
            <w:pPr>
              <w:rPr>
                <w:i/>
              </w:rPr>
            </w:pPr>
            <w:r w:rsidRPr="001E57F2">
              <w:rPr>
                <w:i/>
              </w:rPr>
              <w:t xml:space="preserve">(i.e., </w:t>
            </w:r>
            <w:r>
              <w:rPr>
                <w:i/>
              </w:rPr>
              <w:t xml:space="preserve">vocational, post-secondary education, on-the-job training, apprenticeship, </w:t>
            </w:r>
            <w:r>
              <w:rPr>
                <w:i/>
              </w:rPr>
              <w:t>etc</w:t>
            </w:r>
            <w:r w:rsidRPr="001E57F2">
              <w:rPr>
                <w:i/>
              </w:rPr>
              <w:t>)</w:t>
            </w:r>
          </w:p>
        </w:tc>
        <w:tc>
          <w:tcPr>
            <w:tcW w:w="1382" w:type="pct"/>
          </w:tcPr>
          <w:p w:rsidR="002D4A99" w:rsidP="00103205" w14:paraId="72C6890D" w14:textId="49513198">
            <w:pPr>
              <w:spacing w:before="40"/>
            </w:pPr>
            <w:r>
              <w:t>Upon completing high school,</w:t>
            </w:r>
            <w:r w:rsidR="00103205">
              <w:t xml:space="preserve"> Gabriel will enroll in a college to </w:t>
            </w:r>
            <w:r w:rsidR="00191E44">
              <w:t>purs</w:t>
            </w:r>
            <w:r w:rsidR="00B8784E">
              <w:t xml:space="preserve">ue a career </w:t>
            </w:r>
            <w:r w:rsidR="007953C0">
              <w:t>of his choice</w:t>
            </w:r>
            <w:r w:rsidR="00495C7D">
              <w:t xml:space="preserve"> while also training at the local grocery store</w:t>
            </w:r>
            <w:r w:rsidR="00191E44">
              <w:t>.</w:t>
            </w:r>
          </w:p>
        </w:tc>
        <w:tc>
          <w:tcPr>
            <w:tcW w:w="1382" w:type="pct"/>
          </w:tcPr>
          <w:p w:rsidR="002D4A99" w:rsidP="009C2C7A" w14:paraId="0F3D74AC" w14:textId="4B01812E">
            <w:pPr>
              <w:spacing w:before="40"/>
            </w:pPr>
            <w:r w:rsidRPr="001A48BD">
              <w:t>Gabriel will meet with high school guidance counselors regularly to discuss important paperwork and deadlines for college applications.</w:t>
            </w:r>
          </w:p>
        </w:tc>
        <w:tc>
          <w:tcPr>
            <w:tcW w:w="1382" w:type="pct"/>
          </w:tcPr>
          <w:p w:rsidR="002D4A99" w:rsidP="009C2C7A" w14:paraId="43B1AFDE" w14:textId="0D10D465">
            <w:pPr>
              <w:spacing w:before="40"/>
            </w:pPr>
            <w:r>
              <w:t>Tour post school occupational programs.</w:t>
            </w:r>
          </w:p>
        </w:tc>
      </w:tr>
      <w:tr w14:paraId="33E86B6B" w14:textId="77777777" w:rsidTr="009746E5">
        <w:tblPrEx>
          <w:tblW w:w="5282" w:type="pct"/>
          <w:tblInd w:w="-545" w:type="dxa"/>
          <w:tblLook w:val="04A0"/>
        </w:tblPrEx>
        <w:trPr>
          <w:trHeight w:val="2231"/>
        </w:trPr>
        <w:tc>
          <w:tcPr>
            <w:tcW w:w="855" w:type="pct"/>
            <w:shd w:val="clear" w:color="auto" w:fill="D9D9D9" w:themeFill="background1" w:themeFillShade="D9"/>
          </w:tcPr>
          <w:p w:rsidR="002D4A99" w14:paraId="35B6962E" w14:textId="77777777">
            <w:pPr>
              <w:rPr>
                <w:b/>
              </w:rPr>
            </w:pPr>
            <w:r w:rsidRPr="002D4A99">
              <w:rPr>
                <w:b/>
              </w:rPr>
              <w:t>Employment</w:t>
            </w:r>
          </w:p>
          <w:p w:rsidR="001E57F2" w:rsidRPr="002D4A99" w14:paraId="3A0E61DE" w14:textId="0978BD1E">
            <w:pPr>
              <w:rPr>
                <w:b/>
              </w:rPr>
            </w:pPr>
            <w:r w:rsidRPr="001E57F2">
              <w:rPr>
                <w:i/>
              </w:rPr>
              <w:t xml:space="preserve">(i.e., sheltered, volunteer, competitive, </w:t>
            </w:r>
            <w:r w:rsidRPr="001E57F2">
              <w:rPr>
                <w:i/>
              </w:rPr>
              <w:t>etc</w:t>
            </w:r>
            <w:r w:rsidRPr="001E57F2">
              <w:rPr>
                <w:i/>
              </w:rPr>
              <w:t>)</w:t>
            </w:r>
          </w:p>
        </w:tc>
        <w:tc>
          <w:tcPr>
            <w:tcW w:w="1382" w:type="pct"/>
          </w:tcPr>
          <w:p w:rsidR="002D4A99" w:rsidP="009C2C7A" w14:paraId="54CD4FB9" w14:textId="31E1BFD9">
            <w:pPr>
              <w:spacing w:before="40"/>
            </w:pPr>
            <w:r>
              <w:t>Upon graduating from high school and training in bagging groceries, Gabriel will</w:t>
            </w:r>
            <w:r w:rsidR="00E75185">
              <w:t xml:space="preserve"> work part-time for the local grocery store.</w:t>
            </w:r>
          </w:p>
        </w:tc>
        <w:tc>
          <w:tcPr>
            <w:tcW w:w="1382" w:type="pct"/>
          </w:tcPr>
          <w:p w:rsidR="002D4A99" w:rsidP="001A48BD" w14:paraId="19B0BA30" w14:textId="2F488AE1">
            <w:pPr>
              <w:spacing w:before="40"/>
            </w:pPr>
            <w:r>
              <w:t xml:space="preserve">Gabriel will job shadow a </w:t>
            </w:r>
            <w:r w:rsidR="001A48BD">
              <w:t>mature</w:t>
            </w:r>
            <w:r>
              <w:t xml:space="preserve"> </w:t>
            </w:r>
            <w:r w:rsidR="001A48BD">
              <w:t>employee in an occupation</w:t>
            </w:r>
            <w:r w:rsidR="001B7579">
              <w:t xml:space="preserve"> field of choice</w:t>
            </w:r>
            <w:r w:rsidR="00E423A9">
              <w:t xml:space="preserve"> and interview adult workers during t</w:t>
            </w:r>
            <w:r w:rsidR="00934597">
              <w:t>he local grocery store</w:t>
            </w:r>
            <w:r w:rsidR="00DB2AAE">
              <w:t xml:space="preserve"> training.</w:t>
            </w:r>
          </w:p>
        </w:tc>
        <w:tc>
          <w:tcPr>
            <w:tcW w:w="1382" w:type="pct"/>
          </w:tcPr>
          <w:p w:rsidR="002D4A99" w:rsidP="009C2C7A" w14:paraId="2BE37D35" w14:textId="7B299594">
            <w:pPr>
              <w:spacing w:before="40"/>
            </w:pPr>
            <w:r>
              <w:t>Participate in the high school career fair to learn about careers</w:t>
            </w:r>
          </w:p>
        </w:tc>
      </w:tr>
      <w:tr w14:paraId="5B18443C" w14:textId="77777777" w:rsidTr="009746E5">
        <w:tblPrEx>
          <w:tblW w:w="5282" w:type="pct"/>
          <w:tblInd w:w="-545" w:type="dxa"/>
          <w:tblLook w:val="04A0"/>
        </w:tblPrEx>
        <w:trPr>
          <w:trHeight w:val="1889"/>
        </w:trPr>
        <w:tc>
          <w:tcPr>
            <w:tcW w:w="855" w:type="pct"/>
            <w:shd w:val="clear" w:color="auto" w:fill="D9D9D9" w:themeFill="background1" w:themeFillShade="D9"/>
          </w:tcPr>
          <w:p w:rsidR="002D4A99" w14:paraId="40C7DC03" w14:textId="77777777">
            <w:pPr>
              <w:rPr>
                <w:b/>
              </w:rPr>
            </w:pPr>
            <w:r w:rsidRPr="002D4A99">
              <w:rPr>
                <w:b/>
              </w:rPr>
              <w:t>Independent Living</w:t>
            </w:r>
          </w:p>
          <w:p w:rsidR="001E57F2" w:rsidRPr="002D4A99" w:rsidP="001E57F2" w14:paraId="766DAF33" w14:textId="3743EB43">
            <w:pPr>
              <w:rPr>
                <w:b/>
              </w:rPr>
            </w:pPr>
            <w:r w:rsidRPr="001E57F2">
              <w:rPr>
                <w:i/>
              </w:rPr>
              <w:t xml:space="preserve">(i.e., </w:t>
            </w:r>
            <w:r>
              <w:rPr>
                <w:i/>
              </w:rPr>
              <w:t xml:space="preserve">daily living skills, leisure, transportation, access to adult services, </w:t>
            </w:r>
            <w:r>
              <w:rPr>
                <w:i/>
              </w:rPr>
              <w:t>etc</w:t>
            </w:r>
            <w:r w:rsidRPr="001E57F2">
              <w:rPr>
                <w:i/>
              </w:rPr>
              <w:t>)</w:t>
            </w:r>
          </w:p>
        </w:tc>
        <w:tc>
          <w:tcPr>
            <w:tcW w:w="1382" w:type="pct"/>
          </w:tcPr>
          <w:p w:rsidR="002D4A99" w:rsidP="009C2C7A" w14:paraId="68E734BB" w14:textId="01B055A9">
            <w:pPr>
              <w:spacing w:before="40"/>
            </w:pPr>
            <w:r>
              <w:t xml:space="preserve">After clearing his studies, Gabriel will live with his siblings to learn English and Spanish </w:t>
            </w:r>
            <w:r w:rsidR="0060583B">
              <w:t>and participate fully in football training and running</w:t>
            </w:r>
            <w:r w:rsidR="002D40AE">
              <w:t xml:space="preserve">. </w:t>
            </w:r>
          </w:p>
        </w:tc>
        <w:tc>
          <w:tcPr>
            <w:tcW w:w="1382" w:type="pct"/>
          </w:tcPr>
          <w:p w:rsidR="002D4A99" w:rsidP="009C2C7A" w14:paraId="680BB1F1" w14:textId="46CA9DEB">
            <w:pPr>
              <w:spacing w:before="40"/>
            </w:pPr>
            <w:r>
              <w:t>Gabriel will l</w:t>
            </w:r>
            <w:r w:rsidRPr="001717E0">
              <w:t>earn about community organizations that assist and support people with disabilities.</w:t>
            </w:r>
          </w:p>
        </w:tc>
        <w:tc>
          <w:tcPr>
            <w:tcW w:w="1382" w:type="pct"/>
          </w:tcPr>
          <w:p w:rsidR="002D4A99" w:rsidP="009C2C7A" w14:paraId="23B64C09" w14:textId="0D938EAE">
            <w:pPr>
              <w:spacing w:before="40"/>
            </w:pPr>
            <w:bookmarkStart w:id="0" w:name="_GoBack"/>
            <w:bookmarkEnd w:id="0"/>
            <w:r>
              <w:t>Meet with social workers to discuss interpersonal skill development as well as registering for the draft and learn about public service obligations/opportunities</w:t>
            </w:r>
            <w:r w:rsidR="00C50C1C">
              <w:t xml:space="preserve"> (</w:t>
            </w:r>
            <w:r w:rsidRPr="009D4BFC" w:rsidR="00C50C1C">
              <w:rPr>
                <w:color w:val="222222"/>
                <w:shd w:val="clear" w:color="auto" w:fill="FFFFFF"/>
              </w:rPr>
              <w:t>Harrison</w:t>
            </w:r>
            <w:r w:rsidR="00C50C1C">
              <w:rPr>
                <w:color w:val="222222"/>
                <w:shd w:val="clear" w:color="auto" w:fill="FFFFFF"/>
              </w:rPr>
              <w:t xml:space="preserve"> et al., 2017</w:t>
            </w:r>
            <w:r w:rsidR="00C50C1C">
              <w:t>)</w:t>
            </w:r>
            <w:r w:rsidR="00DB7F3C">
              <w:t>.</w:t>
            </w:r>
          </w:p>
        </w:tc>
      </w:tr>
    </w:tbl>
    <w:p w:rsidR="00CB1BA3" w14:paraId="3186D13D" w14:textId="77777777"/>
    <w:p w:rsidR="00CB1BA3" w:rsidP="00B807CA" w14:paraId="36C86FDF" w14:textId="7EE435FF">
      <w:pPr>
        <w:spacing w:line="480" w:lineRule="auto"/>
        <w:ind w:firstLine="720"/>
      </w:pPr>
      <w:r w:rsidRPr="00CB1BA3">
        <w:rPr>
          <w:b/>
          <w:sz w:val="28"/>
          <w:szCs w:val="28"/>
        </w:rPr>
        <w:t>Rationale</w:t>
      </w:r>
      <w:r>
        <w:t>:</w:t>
      </w:r>
      <w:r w:rsidR="00CA3EF5">
        <w:t xml:space="preserve"> </w:t>
      </w:r>
      <w:r w:rsidRPr="00BC11E7" w:rsidR="00BC11E7">
        <w:t>I created a transition plan based on Gabriel's case scenario that I believe will help him learn more and new skills and be happier and complete the requirements necessary in the local grocery shop operations. Therefore, it is apparent that once an individual graduates from high school, the next level of education would have to do with his career choice, thus the reason why Gabriel will enroll in a college to pursue a career of his choice. This education would provide him with the essential skills necessary for his employment</w:t>
      </w:r>
      <w:r w:rsidR="0034447E">
        <w:t xml:space="preserve"> (</w:t>
      </w:r>
      <w:r w:rsidRPr="009D4BFC" w:rsidR="0034447E">
        <w:rPr>
          <w:color w:val="222222"/>
          <w:shd w:val="clear" w:color="auto" w:fill="FFFFFF"/>
        </w:rPr>
        <w:t>Martin</w:t>
      </w:r>
      <w:r w:rsidR="0034447E">
        <w:rPr>
          <w:color w:val="222222"/>
          <w:shd w:val="clear" w:color="auto" w:fill="FFFFFF"/>
        </w:rPr>
        <w:t xml:space="preserve"> </w:t>
      </w:r>
      <w:r w:rsidRPr="009D4BFC" w:rsidR="0034447E">
        <w:rPr>
          <w:color w:val="222222"/>
          <w:shd w:val="clear" w:color="auto" w:fill="FFFFFF"/>
        </w:rPr>
        <w:t>&amp; Zhang</w:t>
      </w:r>
      <w:r w:rsidR="0034447E">
        <w:rPr>
          <w:color w:val="222222"/>
          <w:shd w:val="clear" w:color="auto" w:fill="FFFFFF"/>
        </w:rPr>
        <w:t xml:space="preserve">, </w:t>
      </w:r>
      <w:r w:rsidRPr="009D4BFC" w:rsidR="0034447E">
        <w:rPr>
          <w:color w:val="222222"/>
          <w:shd w:val="clear" w:color="auto" w:fill="FFFFFF"/>
        </w:rPr>
        <w:t>2020</w:t>
      </w:r>
      <w:r w:rsidR="0034447E">
        <w:t>)</w:t>
      </w:r>
      <w:r w:rsidRPr="00BC11E7" w:rsidR="00BC11E7">
        <w:t>. Similarly, since Gabriel's work-study program at school has already exposed him to the working environment, he would have ample time to train on business operations at the local grocery store to gain more experience to lead to a permanent employment opportunity. Also, the local grocery store would provide a learning opportunity for Gabriel since the store manager has already developed an interest in having him work part-time after he completes his studies. In addition, Gabriel's verbal skills improved as a result of his family involvement is quite encouraging. Therefore, if he continues living with them, then the chances of improving in English and Spanish will be very high because his siblings are fluent in the two languages. Thus, it is expected that their daily interaction will help improve Gabriel's language skills. Moreover, if Gabriel is constantly engaged in fun activities that he likes, his input would be felt. This rationale is essential because he would not hold back; instead, Gabriel will strive to be the best version of himself every time he is involved in such activities.</w:t>
      </w:r>
    </w:p>
    <w:p w:rsidR="00CB1BA3" w:rsidP="00B807CA" w14:paraId="6CE8170A" w14:textId="77777777">
      <w:pPr>
        <w:spacing w:line="480" w:lineRule="auto"/>
        <w:ind w:firstLine="720"/>
      </w:pPr>
    </w:p>
    <w:p w:rsidR="00A8508E" w:rsidP="00B807CA" w14:paraId="246B0337" w14:textId="77777777">
      <w:pPr>
        <w:spacing w:line="480" w:lineRule="auto"/>
        <w:ind w:firstLine="720"/>
      </w:pPr>
    </w:p>
    <w:p w:rsidR="00A8508E" w:rsidP="00B807CA" w14:paraId="386721C8" w14:textId="77777777">
      <w:pPr>
        <w:spacing w:line="480" w:lineRule="auto"/>
        <w:ind w:firstLine="720"/>
      </w:pPr>
    </w:p>
    <w:p w:rsidR="00A8508E" w:rsidP="00B807CA" w14:paraId="6787D676" w14:textId="77777777">
      <w:pPr>
        <w:spacing w:line="480" w:lineRule="auto"/>
        <w:ind w:firstLine="720"/>
      </w:pPr>
    </w:p>
    <w:p w:rsidR="002D4A99" w:rsidP="00CB1BA3" w14:paraId="34FF051A" w14:textId="0CBA9525">
      <w:pPr>
        <w:jc w:val="center"/>
        <w:rPr>
          <w:b/>
          <w:i/>
        </w:rPr>
      </w:pPr>
      <w:r w:rsidRPr="002D4A99">
        <w:rPr>
          <w:b/>
          <w:i/>
        </w:rPr>
        <w:t>R</w:t>
      </w:r>
      <w:r w:rsidR="00CE215D">
        <w:rPr>
          <w:b/>
          <w:i/>
        </w:rPr>
        <w:t>eference</w:t>
      </w:r>
      <w:r w:rsidR="00DD0E25">
        <w:rPr>
          <w:b/>
          <w:i/>
        </w:rPr>
        <w:t>s</w:t>
      </w:r>
    </w:p>
    <w:p w:rsidR="00A8508E" w:rsidP="00CB1BA3" w14:paraId="613B60C8" w14:textId="77777777">
      <w:pPr>
        <w:jc w:val="center"/>
        <w:rPr>
          <w:b/>
          <w:i/>
        </w:rPr>
      </w:pPr>
    </w:p>
    <w:p w:rsidR="009D4BFC" w:rsidRPr="009D4BFC" w:rsidP="009D4BFC" w14:paraId="1955EB37" w14:textId="35A408E3">
      <w:pPr>
        <w:spacing w:line="480" w:lineRule="auto"/>
        <w:ind w:left="720" w:hanging="720"/>
        <w:rPr>
          <w:b/>
          <w:i/>
        </w:rPr>
      </w:pPr>
      <w:r w:rsidRPr="009D4BFC">
        <w:rPr>
          <w:color w:val="222222"/>
          <w:shd w:val="clear" w:color="auto" w:fill="FFFFFF"/>
        </w:rPr>
        <w:t xml:space="preserve">Harrison, J. R., State, T. M., Wills, H. P., Custer, B. A., &amp; Miller, E. (2017). Transition Goals </w:t>
      </w:r>
      <w:r w:rsidRPr="009D4BFC" w:rsidR="00C50C1C">
        <w:rPr>
          <w:color w:val="222222"/>
          <w:shd w:val="clear" w:color="auto" w:fill="FFFFFF"/>
        </w:rPr>
        <w:t>for</w:t>
      </w:r>
      <w:r w:rsidRPr="009D4BFC">
        <w:rPr>
          <w:color w:val="222222"/>
          <w:shd w:val="clear" w:color="auto" w:fill="FFFFFF"/>
        </w:rPr>
        <w:t xml:space="preserve"> Youth </w:t>
      </w:r>
      <w:r w:rsidRPr="009D4BFC" w:rsidR="00C50C1C">
        <w:rPr>
          <w:color w:val="222222"/>
          <w:shd w:val="clear" w:color="auto" w:fill="FFFFFF"/>
        </w:rPr>
        <w:t>with</w:t>
      </w:r>
      <w:r w:rsidRPr="009D4BFC">
        <w:rPr>
          <w:color w:val="222222"/>
          <w:shd w:val="clear" w:color="auto" w:fill="FFFFFF"/>
        </w:rPr>
        <w:t xml:space="preserve"> Social, Emotional, </w:t>
      </w:r>
      <w:r w:rsidRPr="009D4BFC" w:rsidR="00C50C1C">
        <w:rPr>
          <w:color w:val="222222"/>
          <w:shd w:val="clear" w:color="auto" w:fill="FFFFFF"/>
        </w:rPr>
        <w:t>and</w:t>
      </w:r>
      <w:r w:rsidRPr="009D4BFC">
        <w:rPr>
          <w:color w:val="222222"/>
          <w:shd w:val="clear" w:color="auto" w:fill="FFFFFF"/>
        </w:rPr>
        <w:t xml:space="preserve"> Behavioral Problems: Parent </w:t>
      </w:r>
      <w:r w:rsidRPr="009D4BFC" w:rsidR="00C50C1C">
        <w:rPr>
          <w:color w:val="222222"/>
          <w:shd w:val="clear" w:color="auto" w:fill="FFFFFF"/>
        </w:rPr>
        <w:t>and</w:t>
      </w:r>
      <w:r w:rsidRPr="009D4BFC">
        <w:rPr>
          <w:color w:val="222222"/>
          <w:shd w:val="clear" w:color="auto" w:fill="FFFFFF"/>
        </w:rPr>
        <w:t xml:space="preserve"> Student Knowledge. </w:t>
      </w:r>
      <w:r w:rsidRPr="009D4BFC">
        <w:rPr>
          <w:i/>
          <w:iCs/>
          <w:color w:val="222222"/>
          <w:shd w:val="clear" w:color="auto" w:fill="FFFFFF"/>
        </w:rPr>
        <w:t xml:space="preserve">Preventing School Failure: Alternative Education </w:t>
      </w:r>
      <w:r w:rsidRPr="009D4BFC" w:rsidR="00C50C1C">
        <w:rPr>
          <w:i/>
          <w:iCs/>
          <w:color w:val="222222"/>
          <w:shd w:val="clear" w:color="auto" w:fill="FFFFFF"/>
        </w:rPr>
        <w:t>for</w:t>
      </w:r>
      <w:r w:rsidRPr="009D4BFC">
        <w:rPr>
          <w:i/>
          <w:iCs/>
          <w:color w:val="222222"/>
          <w:shd w:val="clear" w:color="auto" w:fill="FFFFFF"/>
        </w:rPr>
        <w:t xml:space="preserve"> Children </w:t>
      </w:r>
      <w:r w:rsidRPr="009D4BFC" w:rsidR="00C50C1C">
        <w:rPr>
          <w:i/>
          <w:iCs/>
          <w:color w:val="222222"/>
          <w:shd w:val="clear" w:color="auto" w:fill="FFFFFF"/>
        </w:rPr>
        <w:t>and</w:t>
      </w:r>
      <w:r w:rsidRPr="009D4BFC">
        <w:rPr>
          <w:i/>
          <w:iCs/>
          <w:color w:val="222222"/>
          <w:shd w:val="clear" w:color="auto" w:fill="FFFFFF"/>
        </w:rPr>
        <w:t xml:space="preserve"> Youth</w:t>
      </w:r>
      <w:r w:rsidRPr="009D4BFC">
        <w:rPr>
          <w:color w:val="222222"/>
          <w:shd w:val="clear" w:color="auto" w:fill="FFFFFF"/>
        </w:rPr>
        <w:t>, </w:t>
      </w:r>
      <w:r w:rsidRPr="009D4BFC">
        <w:rPr>
          <w:i/>
          <w:iCs/>
          <w:color w:val="222222"/>
          <w:shd w:val="clear" w:color="auto" w:fill="FFFFFF"/>
        </w:rPr>
        <w:t>61</w:t>
      </w:r>
      <w:r w:rsidRPr="009D4BFC">
        <w:rPr>
          <w:color w:val="222222"/>
          <w:shd w:val="clear" w:color="auto" w:fill="FFFFFF"/>
        </w:rPr>
        <w:t>(3), 248-257.</w:t>
      </w:r>
    </w:p>
    <w:p w:rsidR="009D4BFC" w:rsidRPr="009D4BFC" w:rsidP="009D4BFC" w14:paraId="102D607E" w14:textId="07470483">
      <w:pPr>
        <w:spacing w:line="480" w:lineRule="auto"/>
        <w:ind w:left="720" w:hanging="720"/>
        <w:rPr>
          <w:color w:val="222222"/>
          <w:shd w:val="clear" w:color="auto" w:fill="FFFFFF"/>
        </w:rPr>
      </w:pPr>
      <w:r w:rsidRPr="009D4BFC">
        <w:rPr>
          <w:color w:val="222222"/>
          <w:shd w:val="clear" w:color="auto" w:fill="FFFFFF"/>
        </w:rPr>
        <w:t xml:space="preserve">Martin, J., &amp; Zhang, D. (2020). Student Involvement </w:t>
      </w:r>
      <w:r w:rsidRPr="009D4BFC" w:rsidR="00C50C1C">
        <w:rPr>
          <w:color w:val="222222"/>
          <w:shd w:val="clear" w:color="auto" w:fill="FFFFFF"/>
        </w:rPr>
        <w:t>in</w:t>
      </w:r>
      <w:r w:rsidRPr="009D4BFC">
        <w:rPr>
          <w:color w:val="222222"/>
          <w:shd w:val="clear" w:color="auto" w:fill="FFFFFF"/>
        </w:rPr>
        <w:t xml:space="preserve"> </w:t>
      </w:r>
      <w:r w:rsidRPr="009D4BFC" w:rsidR="00C50C1C">
        <w:rPr>
          <w:color w:val="222222"/>
          <w:shd w:val="clear" w:color="auto" w:fill="FFFFFF"/>
        </w:rPr>
        <w:t>the</w:t>
      </w:r>
      <w:r w:rsidRPr="009D4BFC">
        <w:rPr>
          <w:color w:val="222222"/>
          <w:shd w:val="clear" w:color="auto" w:fill="FFFFFF"/>
        </w:rPr>
        <w:t xml:space="preserve"> Transition Process. In </w:t>
      </w:r>
      <w:r w:rsidRPr="009D4BFC">
        <w:rPr>
          <w:i/>
          <w:iCs/>
          <w:color w:val="222222"/>
          <w:shd w:val="clear" w:color="auto" w:fill="FFFFFF"/>
        </w:rPr>
        <w:t xml:space="preserve">Handbook </w:t>
      </w:r>
      <w:r w:rsidRPr="009D4BFC" w:rsidR="00C50C1C">
        <w:rPr>
          <w:i/>
          <w:iCs/>
          <w:color w:val="222222"/>
          <w:shd w:val="clear" w:color="auto" w:fill="FFFFFF"/>
        </w:rPr>
        <w:t>of</w:t>
      </w:r>
      <w:r w:rsidRPr="009D4BFC">
        <w:rPr>
          <w:i/>
          <w:iCs/>
          <w:color w:val="222222"/>
          <w:shd w:val="clear" w:color="auto" w:fill="FFFFFF"/>
        </w:rPr>
        <w:t xml:space="preserve"> Adolescent Transition Education </w:t>
      </w:r>
      <w:r w:rsidRPr="009D4BFC" w:rsidR="00C50C1C">
        <w:rPr>
          <w:i/>
          <w:iCs/>
          <w:color w:val="222222"/>
          <w:shd w:val="clear" w:color="auto" w:fill="FFFFFF"/>
        </w:rPr>
        <w:t>for</w:t>
      </w:r>
      <w:r w:rsidRPr="009D4BFC">
        <w:rPr>
          <w:i/>
          <w:iCs/>
          <w:color w:val="222222"/>
          <w:shd w:val="clear" w:color="auto" w:fill="FFFFFF"/>
        </w:rPr>
        <w:t xml:space="preserve"> Youth </w:t>
      </w:r>
      <w:r w:rsidRPr="009D4BFC" w:rsidR="00C50C1C">
        <w:rPr>
          <w:i/>
          <w:iCs/>
          <w:color w:val="222222"/>
          <w:shd w:val="clear" w:color="auto" w:fill="FFFFFF"/>
        </w:rPr>
        <w:t>with</w:t>
      </w:r>
      <w:r w:rsidRPr="009D4BFC">
        <w:rPr>
          <w:i/>
          <w:iCs/>
          <w:color w:val="222222"/>
          <w:shd w:val="clear" w:color="auto" w:fill="FFFFFF"/>
        </w:rPr>
        <w:t xml:space="preserve"> Disabilities</w:t>
      </w:r>
      <w:r w:rsidRPr="009D4BFC">
        <w:rPr>
          <w:color w:val="222222"/>
          <w:shd w:val="clear" w:color="auto" w:fill="FFFFFF"/>
        </w:rPr>
        <w:t> (Pp. 120-137). Routledge.</w:t>
      </w:r>
    </w:p>
    <w:sectPr w:rsidSect="009C2C7A">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F76" w:rsidP="00DE0846" w14:paraId="01A4D73D" w14:textId="6BF441FC">
    <w:pPr>
      <w:jc w:val="center"/>
    </w:pPr>
    <w:r w:rsidRPr="007B06F7">
      <w:t>© 201</w:t>
    </w:r>
    <w:r w:rsidR="00313E3D">
      <w:t>9.</w:t>
    </w:r>
    <w:r w:rsidRPr="007B06F7">
      <w:t xml:space="preserve"> Grand Canyon University. All Rights Reserved</w:t>
    </w:r>
  </w:p>
  <w:p w:rsidR="00B50F76" w14:paraId="10ED220A" w14:textId="37FBA7BB">
    <w:pPr>
      <w:pStyle w:val="Footer"/>
    </w:pPr>
  </w:p>
  <w:p w:rsidR="00B50F76" w:rsidRPr="009C2C7A" w:rsidP="009C2C7A" w14:paraId="2D1DDF77" w14:textId="7E25F321">
    <w:pPr>
      <w:pBdr>
        <w:top w:val="single" w:sz="4" w:space="1" w:color="auto"/>
      </w:pBd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0A5D9D"/>
    <w:multiLevelType w:val="hybridMultilevel"/>
    <w:tmpl w:val="3B4C2B9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89"/>
    <w:rsid w:val="00103205"/>
    <w:rsid w:val="00160D56"/>
    <w:rsid w:val="00161DFC"/>
    <w:rsid w:val="001717E0"/>
    <w:rsid w:val="00187B72"/>
    <w:rsid w:val="00191E44"/>
    <w:rsid w:val="001A48BD"/>
    <w:rsid w:val="001B7579"/>
    <w:rsid w:val="001E57F2"/>
    <w:rsid w:val="002314F7"/>
    <w:rsid w:val="00243335"/>
    <w:rsid w:val="002B03C2"/>
    <w:rsid w:val="002D40AE"/>
    <w:rsid w:val="002D4A99"/>
    <w:rsid w:val="00312E66"/>
    <w:rsid w:val="00313E3D"/>
    <w:rsid w:val="0034447E"/>
    <w:rsid w:val="003458C5"/>
    <w:rsid w:val="003623E8"/>
    <w:rsid w:val="003B368F"/>
    <w:rsid w:val="004063A8"/>
    <w:rsid w:val="00490A99"/>
    <w:rsid w:val="00495C7D"/>
    <w:rsid w:val="00496CEE"/>
    <w:rsid w:val="00521BC2"/>
    <w:rsid w:val="005D1A95"/>
    <w:rsid w:val="005F074A"/>
    <w:rsid w:val="005F3595"/>
    <w:rsid w:val="005F62AB"/>
    <w:rsid w:val="0060583B"/>
    <w:rsid w:val="00630C5D"/>
    <w:rsid w:val="006B759D"/>
    <w:rsid w:val="006C2C20"/>
    <w:rsid w:val="006F6D50"/>
    <w:rsid w:val="00715C9F"/>
    <w:rsid w:val="00781723"/>
    <w:rsid w:val="00783E0A"/>
    <w:rsid w:val="007856FF"/>
    <w:rsid w:val="007953C0"/>
    <w:rsid w:val="007B06F7"/>
    <w:rsid w:val="00815B75"/>
    <w:rsid w:val="008339D9"/>
    <w:rsid w:val="008577E2"/>
    <w:rsid w:val="008D3985"/>
    <w:rsid w:val="008E7331"/>
    <w:rsid w:val="00934597"/>
    <w:rsid w:val="00963047"/>
    <w:rsid w:val="009746E5"/>
    <w:rsid w:val="009A71A1"/>
    <w:rsid w:val="009C2C7A"/>
    <w:rsid w:val="009D4BFC"/>
    <w:rsid w:val="00A52073"/>
    <w:rsid w:val="00A8508E"/>
    <w:rsid w:val="00AA7B3D"/>
    <w:rsid w:val="00AC2672"/>
    <w:rsid w:val="00AF6DF8"/>
    <w:rsid w:val="00B50F76"/>
    <w:rsid w:val="00B67EEE"/>
    <w:rsid w:val="00B807CA"/>
    <w:rsid w:val="00B8784E"/>
    <w:rsid w:val="00B94A91"/>
    <w:rsid w:val="00B95D24"/>
    <w:rsid w:val="00BC11E7"/>
    <w:rsid w:val="00C0743A"/>
    <w:rsid w:val="00C50C1C"/>
    <w:rsid w:val="00C50CA7"/>
    <w:rsid w:val="00C82B75"/>
    <w:rsid w:val="00C845D2"/>
    <w:rsid w:val="00C86177"/>
    <w:rsid w:val="00C972DE"/>
    <w:rsid w:val="00CA3EF5"/>
    <w:rsid w:val="00CB1BA3"/>
    <w:rsid w:val="00CE215D"/>
    <w:rsid w:val="00D71E89"/>
    <w:rsid w:val="00D71E8C"/>
    <w:rsid w:val="00DB2AAE"/>
    <w:rsid w:val="00DB5653"/>
    <w:rsid w:val="00DB7F3C"/>
    <w:rsid w:val="00DC49AB"/>
    <w:rsid w:val="00DD0E25"/>
    <w:rsid w:val="00DE0846"/>
    <w:rsid w:val="00E00A9C"/>
    <w:rsid w:val="00E423A9"/>
    <w:rsid w:val="00E75185"/>
    <w:rsid w:val="00E92F57"/>
    <w:rsid w:val="00EE1179"/>
    <w:rsid w:val="00F535F4"/>
    <w:rsid w:val="00F700E3"/>
    <w:rsid w:val="00F71B10"/>
    <w:rsid w:val="00FA6605"/>
    <w:rsid w:val="00FB57DB"/>
    <w:rsid w:val="00FD7A2E"/>
    <w:rsid w:val="00FE10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98B032"/>
  <w15:chartTrackingRefBased/>
  <w15:docId w15:val="{0CBB6AF8-6E23-496D-BFA0-0E8CA9D1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E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D71E89"/>
    <w:rPr>
      <w:rFonts w:cs="Times New Roman"/>
      <w:sz w:val="16"/>
      <w:szCs w:val="16"/>
    </w:rPr>
  </w:style>
  <w:style w:type="character" w:styleId="Hyperlink">
    <w:name w:val="Hyperlink"/>
    <w:uiPriority w:val="99"/>
    <w:rsid w:val="00D71E89"/>
    <w:rPr>
      <w:rFonts w:cs="Times New Roman"/>
      <w:color w:val="0000FF"/>
      <w:u w:val="single"/>
    </w:rPr>
  </w:style>
  <w:style w:type="paragraph" w:styleId="CommentText">
    <w:name w:val="annotation text"/>
    <w:basedOn w:val="Normal"/>
    <w:link w:val="CommentTextChar"/>
    <w:uiPriority w:val="99"/>
    <w:rsid w:val="00D71E89"/>
    <w:rPr>
      <w:sz w:val="20"/>
      <w:szCs w:val="20"/>
    </w:rPr>
  </w:style>
  <w:style w:type="character" w:customStyle="1" w:styleId="CommentTextChar">
    <w:name w:val="Comment Text Char"/>
    <w:basedOn w:val="DefaultParagraphFont"/>
    <w:link w:val="CommentText"/>
    <w:uiPriority w:val="99"/>
    <w:rsid w:val="00D71E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1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E89"/>
    <w:rPr>
      <w:rFonts w:ascii="Segoe UI" w:eastAsia="Times New Roman" w:hAnsi="Segoe UI" w:cs="Segoe UI"/>
      <w:sz w:val="18"/>
      <w:szCs w:val="18"/>
    </w:rPr>
  </w:style>
  <w:style w:type="paragraph" w:styleId="ListParagraph">
    <w:name w:val="List Paragraph"/>
    <w:basedOn w:val="Normal"/>
    <w:uiPriority w:val="34"/>
    <w:qFormat/>
    <w:rsid w:val="00D71E89"/>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D7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C7A"/>
    <w:pPr>
      <w:tabs>
        <w:tab w:val="center" w:pos="4680"/>
        <w:tab w:val="right" w:pos="9360"/>
      </w:tabs>
    </w:pPr>
  </w:style>
  <w:style w:type="character" w:customStyle="1" w:styleId="HeaderChar">
    <w:name w:val="Header Char"/>
    <w:basedOn w:val="DefaultParagraphFont"/>
    <w:link w:val="Header"/>
    <w:uiPriority w:val="99"/>
    <w:rsid w:val="009C2C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2C7A"/>
    <w:pPr>
      <w:tabs>
        <w:tab w:val="center" w:pos="4680"/>
        <w:tab w:val="right" w:pos="9360"/>
      </w:tabs>
    </w:pPr>
  </w:style>
  <w:style w:type="character" w:customStyle="1" w:styleId="FooterChar">
    <w:name w:val="Footer Char"/>
    <w:basedOn w:val="DefaultParagraphFont"/>
    <w:link w:val="Footer"/>
    <w:uiPriority w:val="99"/>
    <w:rsid w:val="009C2C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D01D41BF45643B35D972545FC3B3E" ma:contentTypeVersion="9" ma:contentTypeDescription="Create a new document." ma:contentTypeScope="" ma:versionID="d3b72c36c9a3421695e3718d9053d9a9">
  <xsd:schema xmlns:xsd="http://www.w3.org/2001/XMLSchema" xmlns:xs="http://www.w3.org/2001/XMLSchema" xmlns:p="http://schemas.microsoft.com/office/2006/metadata/properties" xmlns:ns3="44d6aff5-f373-4490-9d19-69d4e6ceea5f" targetNamespace="http://schemas.microsoft.com/office/2006/metadata/properties" ma:root="true" ma:fieldsID="3c7a9f344f854354af1d40d04a98841d" ns3:_="">
    <xsd:import namespace="44d6aff5-f373-4490-9d19-69d4e6cee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6aff5-f373-4490-9d19-69d4e6cee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4FB64-AE59-4A00-9C6B-7E0C59E0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6aff5-f373-4490-9d19-69d4e6cee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43326-A927-4266-89D8-7EF1EB5B67E8}">
  <ds:schemaRefs>
    <ds:schemaRef ds:uri="http://schemas.microsoft.com/sharepoint/v3/contenttype/forms"/>
  </ds:schemaRefs>
</ds:datastoreItem>
</file>

<file path=customXml/itemProps3.xml><?xml version="1.0" encoding="utf-8"?>
<ds:datastoreItem xmlns:ds="http://schemas.openxmlformats.org/officeDocument/2006/customXml" ds:itemID="{3079C572-9A9B-4FFB-8D34-30D20D48D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Dyer</dc:creator>
  <cp:lastModifiedBy>HP</cp:lastModifiedBy>
  <cp:revision>68</cp:revision>
  <dcterms:created xsi:type="dcterms:W3CDTF">2020-08-12T18:46:00Z</dcterms:created>
  <dcterms:modified xsi:type="dcterms:W3CDTF">2021-06-26T09:39:00Z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0x010100FA4D01D41BF45643B35D972545FC3B3E</vt:lpwstr>
  </property>
  <property fmtid="{D5CDD505-2E9C-101B-9397-08002B2CF9AE}" pid="4" name="DocumentBusinessValue">
    <vt:lpwstr>1;#Normal|581d4866-74cc-43f1-bef1-bb304cbfeaa5</vt:lpwstr>
  </property>
  <property fmtid="{D5CDD505-2E9C-101B-9397-08002B2CF9AE}" pid="5" name="DocumentCategory">
    <vt:lpwstr/>
  </property>
  <property fmtid="{D5CDD505-2E9C-101B-9397-08002B2CF9AE}" pid="6" name="DocumentDepartment">
    <vt:lpwstr>3;#Academic Program and Course Development|59abafec-cbf5-4238-a796-a3b74278f4db</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Order">
    <vt:r8>14499700</vt:r8>
  </property>
  <property fmtid="{D5CDD505-2E9C-101B-9397-08002B2CF9AE}" pid="11" name="SecurityClassification">
    <vt:lpwstr>2;#Internal|98311b30-b9e9-4d4f-9f64-0688c0d4a234</vt:lpwstr>
  </property>
  <property fmtid="{D5CDD505-2E9C-101B-9397-08002B2CF9AE}" pid="12" name="TaxKeyword">
    <vt:lpwstr/>
  </property>
  <property fmtid="{D5CDD505-2E9C-101B-9397-08002B2CF9AE}" pid="13" name="TemplateUrl">
    <vt:lpwstr/>
  </property>
  <property fmtid="{D5CDD505-2E9C-101B-9397-08002B2CF9AE}" pid="14" name="xd_ProgID">
    <vt:lpwstr/>
  </property>
</Properties>
</file>